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lang w:val="pt-BR" w:eastAsia="pt-BR"/>
        </w:rPr>
        <w:drawing>
          <wp:inline distT="0" distB="0" distL="0" distR="0">
            <wp:extent cx="6601460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Dispensa por Limite nº 32/2022,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Fica homologado o julgamento proferido pelo Pregoeiro do CISOP, nomeado pela Portaria nº 19 de 15/03/2021, sobre o Processo de Licitação do tipo Dispensa por Limite nº 32/2022, que tem por objeto a PRESTAÇÃO DE SERVIÇOS DE ENCARDENAÇÃO DE LIVROS CONTÁBEIS, em favor da(s) empresa(s) abaixo relacionada, tudo conforme o constante no Mapa Comparativo de Preços (na Deliberação), que fica fazendo parte indissolúvel desta RESOLUÇÃO.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/>
            </w:pPr>
            <w:r>
              <w:rPr>
                <w:rFonts w:cs="Arial" w:ascii="Arial" w:hAnsi="Arial"/>
                <w:sz w:val="24"/>
              </w:rPr>
              <w:t>ENCADERNADORA GLOBO LTDA: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Pelo presente, ficam intimados os participantes da licitação supramencionada, da decisão estabelecida nesta RESOLUÇÃO.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Esta RESOLUÇÃO entrará em vigor na data de sua publicação, revogadas as disposições em contrário.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03 de outubro de 2022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 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148</Words>
  <Characters>853</Characters>
  <CharactersWithSpaces>1086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2022-10-03T16:59:03Z</cp:lastPrinted>
  <dcterms:modified xsi:type="dcterms:W3CDTF">2022-10-03T16:58:47Z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